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694" w:type="dxa"/>
        <w:jc w:val="center"/>
        <w:tblInd w:w="0" w:type="dxa"/>
        <w:tblLayout w:type="fixed"/>
        <w:tblCellMar>
          <w:top w:w="15" w:type="dxa"/>
          <w:left w:w="15" w:type="dxa"/>
          <w:bottom w:w="15" w:type="dxa"/>
          <w:right w:w="15" w:type="dxa"/>
        </w:tblCellMar>
      </w:tblPr>
      <w:tblGrid>
        <w:gridCol w:w="2084"/>
        <w:gridCol w:w="8915"/>
        <w:gridCol w:w="1633"/>
        <w:gridCol w:w="1062"/>
      </w:tblGrid>
      <w:tr>
        <w:tblPrEx>
          <w:tblLayout w:type="fixed"/>
          <w:tblCellMar>
            <w:top w:w="15" w:type="dxa"/>
            <w:left w:w="15" w:type="dxa"/>
            <w:bottom w:w="15" w:type="dxa"/>
            <w:right w:w="15" w:type="dxa"/>
          </w:tblCellMar>
        </w:tblPrEx>
        <w:trPr>
          <w:trHeight w:val="388" w:hRule="atLeast"/>
          <w:jc w:val="center"/>
        </w:trPr>
        <w:tc>
          <w:tcPr>
            <w:tcW w:w="2084" w:type="dxa"/>
            <w:shd w:val="clear" w:color="auto" w:fill="auto"/>
            <w:vAlign w:val="center"/>
          </w:tcPr>
          <w:p>
            <w:pPr>
              <w:widowControl/>
              <w:jc w:val="left"/>
              <w:textAlignment w:val="center"/>
              <w:rPr>
                <w:rFonts w:hint="eastAsia" w:ascii="楷体_GB2312" w:hAnsi="宋体" w:eastAsia="黑体" w:cs="楷体_GB2312"/>
                <w:color w:val="000000"/>
                <w:sz w:val="28"/>
                <w:szCs w:val="28"/>
                <w:lang w:eastAsia="zh-CN"/>
              </w:rPr>
            </w:pPr>
            <w:r>
              <w:rPr>
                <w:rFonts w:hint="eastAsia" w:ascii="黑体" w:hAnsi="黑体" w:eastAsia="黑体" w:cs="黑体"/>
                <w:color w:val="000000"/>
                <w:kern w:val="0"/>
                <w:sz w:val="32"/>
                <w:szCs w:val="32"/>
                <w:lang w:bidi="ar"/>
              </w:rPr>
              <w:t>附件1</w:t>
            </w:r>
            <w:r>
              <w:rPr>
                <w:rFonts w:hint="eastAsia" w:ascii="黑体" w:hAnsi="黑体" w:eastAsia="黑体" w:cs="黑体"/>
                <w:color w:val="000000"/>
                <w:kern w:val="0"/>
                <w:sz w:val="32"/>
                <w:szCs w:val="32"/>
                <w:lang w:eastAsia="zh-CN" w:bidi="ar"/>
              </w:rPr>
              <w:t>：</w:t>
            </w:r>
          </w:p>
        </w:tc>
        <w:tc>
          <w:tcPr>
            <w:tcW w:w="8915" w:type="dxa"/>
            <w:shd w:val="clear" w:color="auto" w:fill="auto"/>
            <w:vAlign w:val="center"/>
          </w:tcPr>
          <w:p>
            <w:pPr>
              <w:jc w:val="center"/>
              <w:rPr>
                <w:rFonts w:ascii="宋体" w:hAnsi="宋体" w:eastAsia="宋体" w:cs="宋体"/>
                <w:color w:val="000000"/>
                <w:sz w:val="24"/>
              </w:rPr>
            </w:pPr>
          </w:p>
        </w:tc>
        <w:tc>
          <w:tcPr>
            <w:tcW w:w="1633" w:type="dxa"/>
            <w:shd w:val="clear" w:color="auto" w:fill="auto"/>
            <w:vAlign w:val="center"/>
          </w:tcPr>
          <w:p>
            <w:pPr>
              <w:jc w:val="center"/>
              <w:rPr>
                <w:rFonts w:ascii="宋体" w:hAnsi="宋体" w:eastAsia="宋体" w:cs="宋体"/>
                <w:color w:val="000000"/>
                <w:sz w:val="24"/>
              </w:rPr>
            </w:pPr>
          </w:p>
        </w:tc>
        <w:tc>
          <w:tcPr>
            <w:tcW w:w="1062" w:type="dxa"/>
            <w:shd w:val="clear" w:color="auto" w:fill="auto"/>
            <w:vAlign w:val="center"/>
          </w:tcPr>
          <w:p>
            <w:pPr>
              <w:jc w:val="center"/>
              <w:rPr>
                <w:rFonts w:ascii="宋体" w:hAnsi="宋体" w:eastAsia="宋体" w:cs="宋体"/>
                <w:color w:val="000000"/>
                <w:sz w:val="24"/>
              </w:rPr>
            </w:pPr>
          </w:p>
        </w:tc>
      </w:tr>
      <w:tr>
        <w:tblPrEx>
          <w:tblLayout w:type="fixed"/>
          <w:tblCellMar>
            <w:top w:w="15" w:type="dxa"/>
            <w:left w:w="15" w:type="dxa"/>
            <w:bottom w:w="15" w:type="dxa"/>
            <w:right w:w="15" w:type="dxa"/>
          </w:tblCellMar>
        </w:tblPrEx>
        <w:trPr>
          <w:trHeight w:val="767" w:hRule="atLeast"/>
          <w:jc w:val="center"/>
        </w:trPr>
        <w:tc>
          <w:tcPr>
            <w:tcW w:w="13694" w:type="dxa"/>
            <w:gridSpan w:val="4"/>
            <w:shd w:val="clear" w:color="auto" w:fill="auto"/>
            <w:vAlign w:val="center"/>
          </w:tcPr>
          <w:p>
            <w:pPr>
              <w:widowControl/>
              <w:jc w:val="center"/>
              <w:textAlignment w:val="center"/>
              <w:rPr>
                <w:rFonts w:ascii="华文中宋" w:hAnsi="华文中宋" w:eastAsia="华文中宋" w:cs="华文中宋"/>
                <w:b/>
                <w:color w:val="000000"/>
                <w:sz w:val="36"/>
                <w:szCs w:val="36"/>
              </w:rPr>
            </w:pPr>
            <w:r>
              <w:rPr>
                <w:rFonts w:hint="eastAsia" w:ascii="华文中宋" w:hAnsi="华文中宋" w:eastAsia="华文中宋" w:cs="华文中宋"/>
                <w:b/>
                <w:color w:val="000000"/>
                <w:kern w:val="0"/>
                <w:sz w:val="36"/>
                <w:szCs w:val="36"/>
                <w:lang w:bidi="ar"/>
              </w:rPr>
              <w:t>中国水利水电出版传媒集团有限公司公开招聘工作人员单位简介</w:t>
            </w:r>
          </w:p>
        </w:tc>
      </w:tr>
      <w:tr>
        <w:tblPrEx>
          <w:tblLayout w:type="fixed"/>
          <w:tblCellMar>
            <w:top w:w="15" w:type="dxa"/>
            <w:left w:w="15" w:type="dxa"/>
            <w:bottom w:w="15" w:type="dxa"/>
            <w:right w:w="15" w:type="dxa"/>
          </w:tblCellMar>
        </w:tblPrEx>
        <w:trPr>
          <w:trHeight w:val="90" w:hRule="atLeast"/>
          <w:jc w:val="center"/>
        </w:trPr>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宋体" w:hAnsi="宋体" w:eastAsia="宋体" w:cs="宋体"/>
                <w:b/>
                <w:color w:val="000000"/>
                <w:kern w:val="0"/>
                <w:sz w:val="24"/>
                <w:lang w:bidi="ar"/>
              </w:rPr>
              <w:t>单位名称</w:t>
            </w:r>
          </w:p>
        </w:tc>
        <w:tc>
          <w:tcPr>
            <w:tcW w:w="8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rPr>
            </w:pPr>
            <w:r>
              <w:rPr>
                <w:rFonts w:hint="eastAsia" w:ascii="宋体" w:hAnsi="宋体" w:eastAsia="宋体" w:cs="宋体"/>
                <w:b/>
                <w:color w:val="000000"/>
                <w:kern w:val="0"/>
                <w:sz w:val="24"/>
                <w:lang w:bidi="ar"/>
              </w:rPr>
              <w:t>单位简介</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咨询电话</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备注</w:t>
            </w:r>
          </w:p>
        </w:tc>
      </w:tr>
      <w:tr>
        <w:tblPrEx>
          <w:tblLayout w:type="fixed"/>
          <w:tblCellMar>
            <w:top w:w="15" w:type="dxa"/>
            <w:left w:w="15" w:type="dxa"/>
            <w:bottom w:w="15" w:type="dxa"/>
            <w:right w:w="15" w:type="dxa"/>
          </w:tblCellMar>
        </w:tblPrEx>
        <w:trPr>
          <w:trHeight w:val="1106" w:hRule="atLeast"/>
          <w:jc w:val="center"/>
        </w:trPr>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4"/>
                <w:lang w:bidi="ar"/>
              </w:rPr>
              <w:t>中国水利水电出版传媒集团有限公司</w:t>
            </w:r>
          </w:p>
        </w:tc>
        <w:tc>
          <w:tcPr>
            <w:tcW w:w="8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国水利水电出版传媒集团有限公司是水利部直属中央一级专业科技出版传媒集团，其前身中国水利水电出版社成立于1956年，1993年被中宣部、新闻出版署命名为首批“全国优秀图书出版单位”，1998年荣获“全国优秀出版社”称号，2015年荣获“全国文明单位”称号，2018年荣获“中国出版政府奖先进出版单位奖”。</w:t>
            </w:r>
          </w:p>
          <w:p>
            <w:pPr>
              <w:widowControl/>
              <w:jc w:val="left"/>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4"/>
                <w:lang w:bidi="ar"/>
              </w:rPr>
              <w:t>中国水利水电出版传媒集团始终践行“立足水电，传播科技，弘扬文化，服务社会”的宗旨，出版了大量优秀水利水电科技图书和相关出版物，并发展成为一家以水利电力专业为基础、兼顾其他学科和门类，融合传统纸质书刊、电子音像和网络出版的综合性出版传媒企业。新时期，集团将致力于出版传媒全文化产业链运作，开展图书营销、研学培训、资本运营、数字产品加工、音像电子制作等综合文化服务业务，努力打造一流新型文化企业集团。</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宋体" w:hAnsi="宋体" w:eastAsia="宋体" w:cs="宋体"/>
                <w:color w:val="000000"/>
                <w:kern w:val="0"/>
                <w:sz w:val="24"/>
                <w:lang w:bidi="ar"/>
              </w:rPr>
              <w:t>010-68545940</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2"/>
                <w:szCs w:val="22"/>
              </w:rPr>
            </w:pPr>
          </w:p>
        </w:tc>
      </w:tr>
      <w:tr>
        <w:tblPrEx>
          <w:tblLayout w:type="fixed"/>
          <w:tblCellMar>
            <w:top w:w="15" w:type="dxa"/>
            <w:left w:w="15" w:type="dxa"/>
            <w:bottom w:w="15" w:type="dxa"/>
            <w:right w:w="15" w:type="dxa"/>
          </w:tblCellMar>
        </w:tblPrEx>
        <w:trPr>
          <w:trHeight w:val="621" w:hRule="atLeast"/>
          <w:jc w:val="center"/>
        </w:trPr>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kern w:val="0"/>
                <w:sz w:val="24"/>
                <w:lang w:bidi="ar"/>
              </w:rPr>
            </w:pPr>
            <w:r>
              <w:fldChar w:fldCharType="begin"/>
            </w:r>
            <w:r>
              <w:instrText xml:space="preserve"> HYPERLINK "http://www.zhsyj.org.cn/" </w:instrText>
            </w:r>
            <w:r>
              <w:fldChar w:fldCharType="separate"/>
            </w:r>
            <w:r>
              <w:fldChar w:fldCharType="end"/>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1386B"/>
    <w:rsid w:val="1FD1386B"/>
    <w:rsid w:val="60562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2023-06-30T07:49:00Z</dcterms:created>
  <dc:creator>HP</dc:creator>
  <cp:lastModifiedBy>HP</cp:lastModifiedBy>
  <dcterms:modified xsi:type="dcterms:W3CDTF">2023-06-30T07:55:45Z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